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FA269" w14:textId="5737370E" w:rsidR="008D79B5" w:rsidRPr="006F4A7F" w:rsidRDefault="008D79B5" w:rsidP="00AC15CE">
      <w:pPr>
        <w:spacing w:after="0" w:line="480" w:lineRule="auto"/>
        <w:jc w:val="center"/>
        <w:rPr>
          <w:rFonts w:ascii="Times New Roman" w:hAnsi="Times New Roman" w:cs="Times New Roman"/>
          <w:b/>
          <w:sz w:val="24"/>
          <w:szCs w:val="24"/>
        </w:rPr>
      </w:pPr>
      <w:bookmarkStart w:id="0" w:name="_GoBack"/>
      <w:bookmarkEnd w:id="0"/>
      <w:r w:rsidRPr="006F4A7F">
        <w:rPr>
          <w:rFonts w:ascii="Times New Roman" w:hAnsi="Times New Roman" w:cs="Times New Roman"/>
          <w:b/>
          <w:sz w:val="24"/>
          <w:szCs w:val="24"/>
        </w:rPr>
        <w:t>Evaluation of Min</w:t>
      </w:r>
      <w:r w:rsidR="00136590" w:rsidRPr="006F4A7F">
        <w:rPr>
          <w:rFonts w:ascii="Times New Roman" w:hAnsi="Times New Roman" w:cs="Times New Roman"/>
          <w:b/>
          <w:sz w:val="24"/>
          <w:szCs w:val="24"/>
        </w:rPr>
        <w:t>nesota Health Insurance Network</w:t>
      </w:r>
      <w:r w:rsidR="00EA7E4A" w:rsidRPr="006F4A7F">
        <w:rPr>
          <w:rFonts w:ascii="Times New Roman" w:hAnsi="Times New Roman" w:cs="Times New Roman"/>
          <w:b/>
          <w:sz w:val="24"/>
          <w:szCs w:val="24"/>
        </w:rPr>
        <w:t xml:space="preserve"> Adequacy</w:t>
      </w:r>
    </w:p>
    <w:p w14:paraId="5226693D" w14:textId="77062D4C" w:rsidR="008D2213" w:rsidRPr="006F4A7F" w:rsidRDefault="00BF3078" w:rsidP="00AC15CE">
      <w:pPr>
        <w:spacing w:after="0" w:line="480" w:lineRule="auto"/>
        <w:ind w:firstLine="720"/>
        <w:jc w:val="both"/>
        <w:rPr>
          <w:rFonts w:ascii="Times New Roman" w:hAnsi="Times New Roman" w:cs="Times New Roman"/>
          <w:sz w:val="24"/>
          <w:szCs w:val="24"/>
        </w:rPr>
      </w:pPr>
      <w:r w:rsidRPr="006F4A7F">
        <w:rPr>
          <w:rFonts w:ascii="Times New Roman" w:hAnsi="Times New Roman" w:cs="Times New Roman"/>
          <w:sz w:val="24"/>
          <w:szCs w:val="24"/>
        </w:rPr>
        <w:t>The United States spends 17%</w:t>
      </w:r>
      <w:r w:rsidRPr="006F4A7F">
        <w:rPr>
          <w:rFonts w:ascii="Times New Roman" w:hAnsi="Times New Roman" w:cs="Times New Roman"/>
          <w:sz w:val="24"/>
          <w:szCs w:val="24"/>
          <w:shd w:val="clear" w:color="auto" w:fill="FFFFFF"/>
        </w:rPr>
        <w:t xml:space="preserve"> </w:t>
      </w:r>
      <w:r w:rsidR="00BB45ED" w:rsidRPr="006F4A7F">
        <w:rPr>
          <w:rFonts w:ascii="Times New Roman" w:hAnsi="Times New Roman" w:cs="Times New Roman"/>
          <w:sz w:val="24"/>
          <w:szCs w:val="24"/>
        </w:rPr>
        <w:t xml:space="preserve">of the </w:t>
      </w:r>
      <w:r w:rsidR="007D7746" w:rsidRPr="006F4A7F">
        <w:rPr>
          <w:rFonts w:ascii="Times New Roman" w:hAnsi="Times New Roman" w:cs="Times New Roman"/>
          <w:sz w:val="24"/>
          <w:szCs w:val="24"/>
        </w:rPr>
        <w:t>GDP</w:t>
      </w:r>
      <w:r w:rsidR="00BB45ED" w:rsidRPr="006F4A7F">
        <w:rPr>
          <w:rFonts w:ascii="Times New Roman" w:hAnsi="Times New Roman" w:cs="Times New Roman"/>
          <w:sz w:val="24"/>
          <w:szCs w:val="24"/>
        </w:rPr>
        <w:t xml:space="preserve"> on health care</w:t>
      </w:r>
      <w:r w:rsidR="008D2213" w:rsidRPr="006F4A7F">
        <w:rPr>
          <w:rFonts w:ascii="Times New Roman" w:hAnsi="Times New Roman" w:cs="Times New Roman"/>
          <w:sz w:val="24"/>
          <w:szCs w:val="24"/>
        </w:rPr>
        <w:t xml:space="preserve">, approximately 3 trillion dollars, </w:t>
      </w:r>
      <w:r w:rsidR="00BB45ED" w:rsidRPr="006F4A7F">
        <w:rPr>
          <w:rFonts w:ascii="Times New Roman" w:hAnsi="Times New Roman" w:cs="Times New Roman"/>
          <w:sz w:val="24"/>
          <w:szCs w:val="24"/>
        </w:rPr>
        <w:t>more than any developed country,</w:t>
      </w:r>
      <w:r w:rsidR="00542662" w:rsidRPr="006F4A7F">
        <w:rPr>
          <w:rFonts w:ascii="Times New Roman" w:hAnsi="Times New Roman" w:cs="Times New Roman"/>
          <w:sz w:val="24"/>
          <w:szCs w:val="24"/>
        </w:rPr>
        <w:t xml:space="preserve"> yet</w:t>
      </w:r>
      <w:r w:rsidR="00BB45ED" w:rsidRPr="006F4A7F">
        <w:rPr>
          <w:rFonts w:ascii="Times New Roman" w:hAnsi="Times New Roman" w:cs="Times New Roman"/>
          <w:sz w:val="24"/>
          <w:szCs w:val="24"/>
        </w:rPr>
        <w:t xml:space="preserve"> many residents have limited access </w:t>
      </w:r>
      <w:r w:rsidR="008D2213" w:rsidRPr="006F4A7F">
        <w:rPr>
          <w:rFonts w:ascii="Times New Roman" w:hAnsi="Times New Roman" w:cs="Times New Roman"/>
          <w:sz w:val="24"/>
          <w:szCs w:val="24"/>
        </w:rPr>
        <w:t>to health providers.</w:t>
      </w:r>
      <w:r w:rsidR="00C478A2" w:rsidRPr="006F4A7F">
        <w:rPr>
          <w:rFonts w:ascii="Times New Roman" w:hAnsi="Times New Roman" w:cs="Times New Roman"/>
          <w:sz w:val="24"/>
          <w:szCs w:val="24"/>
        </w:rPr>
        <w:t xml:space="preserve"> Access is limited to persons with heal</w:t>
      </w:r>
      <w:r w:rsidR="00C17E0C" w:rsidRPr="006F4A7F">
        <w:rPr>
          <w:rFonts w:ascii="Times New Roman" w:hAnsi="Times New Roman" w:cs="Times New Roman"/>
          <w:sz w:val="24"/>
          <w:szCs w:val="24"/>
        </w:rPr>
        <w:t xml:space="preserve">th insurance either through an </w:t>
      </w:r>
      <w:r w:rsidR="00C478A2" w:rsidRPr="006F4A7F">
        <w:rPr>
          <w:rFonts w:ascii="Times New Roman" w:hAnsi="Times New Roman" w:cs="Times New Roman"/>
          <w:sz w:val="24"/>
          <w:szCs w:val="24"/>
        </w:rPr>
        <w:t>employer or the exchange, is covered under a government-sponsored program, can afford to pay for insurance or care privately, or is covered though a safety-net provider</w:t>
      </w:r>
      <w:r w:rsidR="00AE40B3" w:rsidRPr="006F4A7F">
        <w:rPr>
          <w:rFonts w:ascii="Times New Roman" w:hAnsi="Times New Roman" w:cs="Times New Roman"/>
          <w:sz w:val="24"/>
          <w:szCs w:val="24"/>
        </w:rPr>
        <w:t xml:space="preserve"> (Shi &amp; Singh, 2017)</w:t>
      </w:r>
      <w:r w:rsidR="00C478A2" w:rsidRPr="006F4A7F">
        <w:rPr>
          <w:rFonts w:ascii="Times New Roman" w:hAnsi="Times New Roman" w:cs="Times New Roman"/>
          <w:sz w:val="24"/>
          <w:szCs w:val="24"/>
        </w:rPr>
        <w:t xml:space="preserve">. </w:t>
      </w:r>
    </w:p>
    <w:p w14:paraId="26A033DC" w14:textId="2A251BC0" w:rsidR="008D2213" w:rsidRPr="006F4A7F" w:rsidRDefault="008D2213" w:rsidP="00AC15CE">
      <w:pPr>
        <w:spacing w:after="0" w:line="480" w:lineRule="auto"/>
        <w:ind w:firstLine="720"/>
        <w:jc w:val="both"/>
        <w:rPr>
          <w:rFonts w:ascii="Times New Roman" w:hAnsi="Times New Roman" w:cs="Times New Roman"/>
          <w:sz w:val="24"/>
          <w:szCs w:val="24"/>
        </w:rPr>
      </w:pPr>
      <w:r w:rsidRPr="006F4A7F">
        <w:rPr>
          <w:rFonts w:ascii="Times New Roman" w:hAnsi="Times New Roman" w:cs="Times New Roman"/>
          <w:sz w:val="24"/>
          <w:szCs w:val="24"/>
        </w:rPr>
        <w:t>In this project</w:t>
      </w:r>
      <w:r w:rsidR="000C2D79">
        <w:rPr>
          <w:rFonts w:ascii="Times New Roman" w:hAnsi="Times New Roman" w:cs="Times New Roman"/>
          <w:sz w:val="24"/>
          <w:szCs w:val="24"/>
        </w:rPr>
        <w:t>,</w:t>
      </w:r>
      <w:r w:rsidRPr="006F4A7F">
        <w:rPr>
          <w:rFonts w:ascii="Times New Roman" w:hAnsi="Times New Roman" w:cs="Times New Roman"/>
          <w:sz w:val="24"/>
          <w:szCs w:val="24"/>
        </w:rPr>
        <w:t xml:space="preserve"> I am investigating the adequacy of provider networks in the health insurance exchange in Minnesota. My research questions are whether there are sufficient providers in health plan networks operating across Minnesota and whether the health plan networks meet state regulations on network adequacy. </w:t>
      </w:r>
      <w:r w:rsidR="000E216D" w:rsidRPr="006F4A7F">
        <w:rPr>
          <w:rFonts w:ascii="Times New Roman" w:hAnsi="Times New Roman" w:cs="Times New Roman"/>
          <w:sz w:val="24"/>
          <w:szCs w:val="24"/>
        </w:rPr>
        <w:t xml:space="preserve">With private insurance consuming a higher </w:t>
      </w:r>
      <w:r w:rsidR="000C2D79">
        <w:rPr>
          <w:rFonts w:ascii="Times New Roman" w:hAnsi="Times New Roman" w:cs="Times New Roman"/>
          <w:sz w:val="24"/>
          <w:szCs w:val="24"/>
        </w:rPr>
        <w:t xml:space="preserve">market share </w:t>
      </w:r>
      <w:r w:rsidR="000E216D" w:rsidRPr="006F4A7F">
        <w:rPr>
          <w:rFonts w:ascii="Times New Roman" w:hAnsi="Times New Roman" w:cs="Times New Roman"/>
          <w:sz w:val="24"/>
          <w:szCs w:val="24"/>
        </w:rPr>
        <w:t xml:space="preserve">in </w:t>
      </w:r>
      <w:r w:rsidR="000C2D79">
        <w:rPr>
          <w:rFonts w:ascii="Times New Roman" w:hAnsi="Times New Roman" w:cs="Times New Roman"/>
          <w:sz w:val="24"/>
          <w:szCs w:val="24"/>
        </w:rPr>
        <w:t xml:space="preserve">overall </w:t>
      </w:r>
      <w:r w:rsidR="000E216D" w:rsidRPr="006F4A7F">
        <w:rPr>
          <w:rFonts w:ascii="Times New Roman" w:hAnsi="Times New Roman" w:cs="Times New Roman"/>
          <w:sz w:val="24"/>
          <w:szCs w:val="24"/>
        </w:rPr>
        <w:t xml:space="preserve">coverage, I hypothesize 65% of health insurance networks are </w:t>
      </w:r>
      <w:proofErr w:type="gramStart"/>
      <w:r w:rsidR="000E216D" w:rsidRPr="006F4A7F">
        <w:rPr>
          <w:rFonts w:ascii="Times New Roman" w:hAnsi="Times New Roman" w:cs="Times New Roman"/>
          <w:sz w:val="24"/>
          <w:szCs w:val="24"/>
        </w:rPr>
        <w:t>insufficient</w:t>
      </w:r>
      <w:proofErr w:type="gramEnd"/>
      <w:r w:rsidR="000E216D" w:rsidRPr="006F4A7F">
        <w:rPr>
          <w:rFonts w:ascii="Times New Roman" w:hAnsi="Times New Roman" w:cs="Times New Roman"/>
          <w:sz w:val="24"/>
          <w:szCs w:val="24"/>
        </w:rPr>
        <w:t xml:space="preserve"> in Minnesota. </w:t>
      </w:r>
      <w:r w:rsidRPr="006F4A7F">
        <w:rPr>
          <w:rFonts w:ascii="Times New Roman" w:hAnsi="Times New Roman" w:cs="Times New Roman"/>
          <w:sz w:val="24"/>
          <w:szCs w:val="24"/>
        </w:rPr>
        <w:t>Information on provider</w:t>
      </w:r>
      <w:r w:rsidR="000E216D" w:rsidRPr="006F4A7F">
        <w:rPr>
          <w:rFonts w:ascii="Times New Roman" w:hAnsi="Times New Roman" w:cs="Times New Roman"/>
          <w:sz w:val="24"/>
          <w:szCs w:val="24"/>
        </w:rPr>
        <w:t xml:space="preserve"> networks</w:t>
      </w:r>
      <w:r w:rsidRPr="006F4A7F">
        <w:rPr>
          <w:rFonts w:ascii="Times New Roman" w:hAnsi="Times New Roman" w:cs="Times New Roman"/>
          <w:sz w:val="24"/>
          <w:szCs w:val="24"/>
        </w:rPr>
        <w:t xml:space="preserve"> was obtained from the</w:t>
      </w:r>
      <w:r w:rsidR="0061366C" w:rsidRPr="006F4A7F">
        <w:rPr>
          <w:rFonts w:ascii="Times New Roman" w:hAnsi="Times New Roman" w:cs="Times New Roman"/>
          <w:sz w:val="24"/>
          <w:szCs w:val="24"/>
        </w:rPr>
        <w:t xml:space="preserve"> Minnesota Department of Human Services </w:t>
      </w:r>
      <w:r w:rsidRPr="006F4A7F">
        <w:rPr>
          <w:rFonts w:ascii="Times New Roman" w:hAnsi="Times New Roman" w:cs="Times New Roman"/>
          <w:sz w:val="24"/>
          <w:szCs w:val="24"/>
        </w:rPr>
        <w:t xml:space="preserve">to determine breadth </w:t>
      </w:r>
      <w:r w:rsidR="000C2D79">
        <w:rPr>
          <w:rFonts w:ascii="Times New Roman" w:hAnsi="Times New Roman" w:cs="Times New Roman"/>
          <w:sz w:val="24"/>
          <w:szCs w:val="24"/>
        </w:rPr>
        <w:t>&amp;</w:t>
      </w:r>
      <w:r w:rsidRPr="006F4A7F">
        <w:rPr>
          <w:rFonts w:ascii="Times New Roman" w:hAnsi="Times New Roman" w:cs="Times New Roman"/>
          <w:sz w:val="24"/>
          <w:szCs w:val="24"/>
        </w:rPr>
        <w:t xml:space="preserve"> depth and how networks varied across geographic boundaries within the state. There is concern among health </w:t>
      </w:r>
      <w:r w:rsidR="00F916CF" w:rsidRPr="006F4A7F">
        <w:rPr>
          <w:rFonts w:ascii="Times New Roman" w:hAnsi="Times New Roman" w:cs="Times New Roman"/>
          <w:sz w:val="24"/>
          <w:szCs w:val="24"/>
        </w:rPr>
        <w:t>policy experts that</w:t>
      </w:r>
      <w:r w:rsidRPr="006F4A7F">
        <w:rPr>
          <w:rFonts w:ascii="Times New Roman" w:hAnsi="Times New Roman" w:cs="Times New Roman"/>
          <w:sz w:val="24"/>
          <w:szCs w:val="24"/>
        </w:rPr>
        <w:t xml:space="preserve"> insurers will limit provider networks to avoid enrolling high-risk </w:t>
      </w:r>
      <w:r w:rsidR="007D7746" w:rsidRPr="006F4A7F">
        <w:rPr>
          <w:rFonts w:ascii="Times New Roman" w:hAnsi="Times New Roman" w:cs="Times New Roman"/>
          <w:sz w:val="24"/>
          <w:szCs w:val="24"/>
        </w:rPr>
        <w:t>consumers</w:t>
      </w:r>
      <w:r w:rsidRPr="006F4A7F">
        <w:rPr>
          <w:rFonts w:ascii="Times New Roman" w:hAnsi="Times New Roman" w:cs="Times New Roman"/>
          <w:sz w:val="24"/>
          <w:szCs w:val="24"/>
        </w:rPr>
        <w:t xml:space="preserve">. </w:t>
      </w:r>
    </w:p>
    <w:p w14:paraId="6AF24B92" w14:textId="42CEA380" w:rsidR="008D2213" w:rsidRPr="006F4A7F" w:rsidRDefault="008D2213" w:rsidP="00AC15CE">
      <w:pPr>
        <w:spacing w:after="0" w:line="480" w:lineRule="auto"/>
        <w:jc w:val="both"/>
        <w:rPr>
          <w:rFonts w:ascii="Times New Roman" w:hAnsi="Times New Roman" w:cs="Times New Roman"/>
          <w:sz w:val="24"/>
          <w:szCs w:val="24"/>
        </w:rPr>
      </w:pPr>
      <w:r w:rsidRPr="006F4A7F">
        <w:rPr>
          <w:rFonts w:ascii="Times New Roman" w:hAnsi="Times New Roman" w:cs="Times New Roman"/>
          <w:sz w:val="24"/>
          <w:szCs w:val="24"/>
        </w:rPr>
        <w:tab/>
        <w:t>This research is significant because the goal of the Affordable Care Act</w:t>
      </w:r>
      <w:r w:rsidR="007D7746" w:rsidRPr="006F4A7F">
        <w:rPr>
          <w:rFonts w:ascii="Times New Roman" w:hAnsi="Times New Roman" w:cs="Times New Roman"/>
          <w:sz w:val="24"/>
          <w:szCs w:val="24"/>
        </w:rPr>
        <w:t xml:space="preserve"> (ACA)</w:t>
      </w:r>
      <w:r w:rsidRPr="006F4A7F">
        <w:rPr>
          <w:rFonts w:ascii="Times New Roman" w:hAnsi="Times New Roman" w:cs="Times New Roman"/>
          <w:sz w:val="24"/>
          <w:szCs w:val="24"/>
        </w:rPr>
        <w:t xml:space="preserve"> is to increase access to health insurance and health care services. If insurers offering policies on the state exchanges </w:t>
      </w:r>
      <w:r w:rsidR="00683594" w:rsidRPr="006F4A7F">
        <w:rPr>
          <w:rFonts w:ascii="Times New Roman" w:hAnsi="Times New Roman" w:cs="Times New Roman"/>
          <w:sz w:val="24"/>
          <w:szCs w:val="24"/>
        </w:rPr>
        <w:t xml:space="preserve">(online marketplaces where persons may purchase and receive subsidies toward the purchase of health insurance) </w:t>
      </w:r>
      <w:r w:rsidRPr="006F4A7F">
        <w:rPr>
          <w:rFonts w:ascii="Times New Roman" w:hAnsi="Times New Roman" w:cs="Times New Roman"/>
          <w:sz w:val="24"/>
          <w:szCs w:val="24"/>
        </w:rPr>
        <w:t xml:space="preserve">have limited provider networks with few specialists and hospitals, then the goal of improving access to care may not be accomplished. Nonetheless, limited provider networks are likely to offer lower premiums to consumers. Thus evaluating the tradeoff of limited provider networks and lower premiums is </w:t>
      </w:r>
      <w:r w:rsidR="000C2D79" w:rsidRPr="006F4A7F">
        <w:rPr>
          <w:rFonts w:ascii="Times New Roman" w:hAnsi="Times New Roman" w:cs="Times New Roman"/>
          <w:sz w:val="24"/>
          <w:szCs w:val="24"/>
        </w:rPr>
        <w:t>essential</w:t>
      </w:r>
      <w:r w:rsidRPr="006F4A7F">
        <w:rPr>
          <w:rFonts w:ascii="Times New Roman" w:hAnsi="Times New Roman" w:cs="Times New Roman"/>
          <w:sz w:val="24"/>
          <w:szCs w:val="24"/>
        </w:rPr>
        <w:t xml:space="preserve">. </w:t>
      </w:r>
    </w:p>
    <w:p w14:paraId="6C4A1945" w14:textId="511269E0" w:rsidR="00924B46" w:rsidRPr="006F4A7F" w:rsidRDefault="00605FE2" w:rsidP="00AC15CE">
      <w:pPr>
        <w:spacing w:after="0" w:line="480" w:lineRule="auto"/>
        <w:ind w:firstLine="720"/>
        <w:jc w:val="both"/>
        <w:rPr>
          <w:rFonts w:ascii="Times New Roman" w:hAnsi="Times New Roman" w:cs="Times New Roman"/>
          <w:sz w:val="24"/>
          <w:szCs w:val="24"/>
        </w:rPr>
      </w:pPr>
      <w:r w:rsidRPr="006F4A7F">
        <w:rPr>
          <w:rFonts w:ascii="Times New Roman" w:hAnsi="Times New Roman" w:cs="Times New Roman"/>
          <w:sz w:val="24"/>
          <w:szCs w:val="24"/>
        </w:rPr>
        <w:lastRenderedPageBreak/>
        <w:t>Narrow</w:t>
      </w:r>
      <w:r w:rsidR="00C537FA" w:rsidRPr="006F4A7F">
        <w:rPr>
          <w:rFonts w:ascii="Times New Roman" w:hAnsi="Times New Roman" w:cs="Times New Roman"/>
          <w:sz w:val="24"/>
          <w:szCs w:val="24"/>
        </w:rPr>
        <w:t xml:space="preserve"> network</w:t>
      </w:r>
      <w:r w:rsidR="000118EF" w:rsidRPr="006F4A7F">
        <w:rPr>
          <w:rFonts w:ascii="Times New Roman" w:hAnsi="Times New Roman" w:cs="Times New Roman"/>
          <w:sz w:val="24"/>
          <w:szCs w:val="24"/>
        </w:rPr>
        <w:t>s</w:t>
      </w:r>
      <w:r w:rsidR="00C537FA" w:rsidRPr="006F4A7F">
        <w:rPr>
          <w:rFonts w:ascii="Times New Roman" w:hAnsi="Times New Roman" w:cs="Times New Roman"/>
          <w:sz w:val="24"/>
          <w:szCs w:val="24"/>
        </w:rPr>
        <w:t xml:space="preserve"> </w:t>
      </w:r>
      <w:r w:rsidR="000118EF" w:rsidRPr="006F4A7F">
        <w:rPr>
          <w:rFonts w:ascii="Times New Roman" w:hAnsi="Times New Roman" w:cs="Times New Roman"/>
          <w:sz w:val="24"/>
          <w:szCs w:val="24"/>
        </w:rPr>
        <w:t>are</w:t>
      </w:r>
      <w:r w:rsidR="00C537FA" w:rsidRPr="006F4A7F">
        <w:rPr>
          <w:rFonts w:ascii="Times New Roman" w:hAnsi="Times New Roman" w:cs="Times New Roman"/>
          <w:sz w:val="24"/>
          <w:szCs w:val="24"/>
        </w:rPr>
        <w:t xml:space="preserve"> </w:t>
      </w:r>
      <w:r w:rsidR="00653DF8" w:rsidRPr="006F4A7F">
        <w:rPr>
          <w:rFonts w:ascii="Times New Roman" w:hAnsi="Times New Roman" w:cs="Times New Roman"/>
          <w:sz w:val="24"/>
          <w:szCs w:val="24"/>
        </w:rPr>
        <w:t>a cost containment strategy, defined as</w:t>
      </w:r>
      <w:r w:rsidR="00BB45ED" w:rsidRPr="006F4A7F">
        <w:rPr>
          <w:rFonts w:ascii="Times New Roman" w:hAnsi="Times New Roman" w:cs="Times New Roman"/>
          <w:sz w:val="24"/>
          <w:szCs w:val="24"/>
        </w:rPr>
        <w:t xml:space="preserve"> </w:t>
      </w:r>
      <w:r w:rsidR="00653DF8" w:rsidRPr="006F4A7F">
        <w:rPr>
          <w:rFonts w:ascii="Times New Roman" w:hAnsi="Times New Roman" w:cs="Times New Roman"/>
          <w:sz w:val="24"/>
          <w:szCs w:val="24"/>
        </w:rPr>
        <w:t>limited group of providers who have contr</w:t>
      </w:r>
      <w:r w:rsidR="00DE1086" w:rsidRPr="006F4A7F">
        <w:rPr>
          <w:rFonts w:ascii="Times New Roman" w:hAnsi="Times New Roman" w:cs="Times New Roman"/>
          <w:sz w:val="24"/>
          <w:szCs w:val="24"/>
        </w:rPr>
        <w:t>acted with an insurance company</w:t>
      </w:r>
      <w:r w:rsidR="009A27CA" w:rsidRPr="006F4A7F">
        <w:rPr>
          <w:rFonts w:ascii="Times New Roman" w:hAnsi="Times New Roman" w:cs="Times New Roman"/>
          <w:sz w:val="24"/>
          <w:szCs w:val="24"/>
        </w:rPr>
        <w:t xml:space="preserve"> to provide care (Lee, 1948</w:t>
      </w:r>
      <w:r w:rsidR="00077080" w:rsidRPr="006F4A7F">
        <w:rPr>
          <w:rFonts w:ascii="Times New Roman" w:hAnsi="Times New Roman" w:cs="Times New Roman"/>
          <w:sz w:val="24"/>
          <w:szCs w:val="24"/>
        </w:rPr>
        <w:t>).</w:t>
      </w:r>
      <w:r w:rsidR="00DE1086" w:rsidRPr="006F4A7F">
        <w:rPr>
          <w:rFonts w:ascii="Times New Roman" w:hAnsi="Times New Roman" w:cs="Times New Roman"/>
          <w:sz w:val="24"/>
          <w:szCs w:val="24"/>
        </w:rPr>
        <w:t xml:space="preserve"> These providers have agreed to deliver good quality care for a low payment</w:t>
      </w:r>
      <w:r w:rsidR="00924B46" w:rsidRPr="006F4A7F">
        <w:rPr>
          <w:rFonts w:ascii="Times New Roman" w:hAnsi="Times New Roman" w:cs="Times New Roman"/>
          <w:sz w:val="24"/>
          <w:szCs w:val="24"/>
        </w:rPr>
        <w:t xml:space="preserve">. </w:t>
      </w:r>
      <w:r w:rsidR="007D7746" w:rsidRPr="006F4A7F">
        <w:rPr>
          <w:rFonts w:ascii="Times New Roman" w:hAnsi="Times New Roman" w:cs="Times New Roman"/>
          <w:sz w:val="24"/>
          <w:szCs w:val="24"/>
        </w:rPr>
        <w:t xml:space="preserve">The Affordable Care Act </w:t>
      </w:r>
      <w:r w:rsidR="003604B5" w:rsidRPr="006F4A7F">
        <w:rPr>
          <w:rFonts w:ascii="Times New Roman" w:hAnsi="Times New Roman" w:cs="Times New Roman"/>
          <w:sz w:val="24"/>
          <w:szCs w:val="24"/>
        </w:rPr>
        <w:t>has</w:t>
      </w:r>
      <w:r w:rsidR="00191CAC" w:rsidRPr="006F4A7F">
        <w:rPr>
          <w:rFonts w:ascii="Times New Roman" w:hAnsi="Times New Roman" w:cs="Times New Roman"/>
          <w:sz w:val="24"/>
          <w:szCs w:val="24"/>
        </w:rPr>
        <w:t xml:space="preserve"> increased standard of benefits, </w:t>
      </w:r>
      <w:r w:rsidR="00881377" w:rsidRPr="006F4A7F">
        <w:rPr>
          <w:rFonts w:ascii="Times New Roman" w:hAnsi="Times New Roman" w:cs="Times New Roman"/>
          <w:sz w:val="24"/>
          <w:szCs w:val="24"/>
        </w:rPr>
        <w:t xml:space="preserve">imposed </w:t>
      </w:r>
      <w:r w:rsidR="00191CAC" w:rsidRPr="006F4A7F">
        <w:rPr>
          <w:rFonts w:ascii="Times New Roman" w:hAnsi="Times New Roman" w:cs="Times New Roman"/>
          <w:sz w:val="24"/>
          <w:szCs w:val="24"/>
        </w:rPr>
        <w:t>a maximum limit on out-of-pocket spending, eliminat</w:t>
      </w:r>
      <w:r w:rsidR="00881377" w:rsidRPr="006F4A7F">
        <w:rPr>
          <w:rFonts w:ascii="Times New Roman" w:hAnsi="Times New Roman" w:cs="Times New Roman"/>
          <w:sz w:val="24"/>
          <w:szCs w:val="24"/>
        </w:rPr>
        <w:t xml:space="preserve">ed </w:t>
      </w:r>
      <w:r w:rsidR="00191CAC" w:rsidRPr="006F4A7F">
        <w:rPr>
          <w:rFonts w:ascii="Times New Roman" w:hAnsi="Times New Roman" w:cs="Times New Roman"/>
          <w:sz w:val="24"/>
          <w:szCs w:val="24"/>
        </w:rPr>
        <w:t xml:space="preserve">annual or lifetime limits, and </w:t>
      </w:r>
      <w:r w:rsidR="00881377" w:rsidRPr="006F4A7F">
        <w:rPr>
          <w:rFonts w:ascii="Times New Roman" w:hAnsi="Times New Roman" w:cs="Times New Roman"/>
          <w:sz w:val="24"/>
          <w:szCs w:val="24"/>
        </w:rPr>
        <w:t xml:space="preserve">created </w:t>
      </w:r>
      <w:r w:rsidR="003604B5" w:rsidRPr="006F4A7F">
        <w:rPr>
          <w:rFonts w:ascii="Times New Roman" w:hAnsi="Times New Roman" w:cs="Times New Roman"/>
          <w:sz w:val="24"/>
          <w:szCs w:val="24"/>
        </w:rPr>
        <w:t>state health insurance exchanges</w:t>
      </w:r>
      <w:r w:rsidR="00881377" w:rsidRPr="006F4A7F">
        <w:rPr>
          <w:rFonts w:ascii="Times New Roman" w:hAnsi="Times New Roman" w:cs="Times New Roman"/>
          <w:sz w:val="24"/>
          <w:szCs w:val="24"/>
        </w:rPr>
        <w:t>.</w:t>
      </w:r>
      <w:r w:rsidR="00A2635E" w:rsidRPr="006F4A7F">
        <w:rPr>
          <w:rFonts w:ascii="Times New Roman" w:hAnsi="Times New Roman" w:cs="Times New Roman"/>
          <w:sz w:val="24"/>
          <w:szCs w:val="24"/>
        </w:rPr>
        <w:t xml:space="preserve"> </w:t>
      </w:r>
      <w:r w:rsidR="00881377" w:rsidRPr="006F4A7F">
        <w:rPr>
          <w:rFonts w:ascii="Times New Roman" w:hAnsi="Times New Roman" w:cs="Times New Roman"/>
          <w:sz w:val="24"/>
          <w:szCs w:val="24"/>
        </w:rPr>
        <w:t>N</w:t>
      </w:r>
      <w:r w:rsidR="00A2635E" w:rsidRPr="006F4A7F">
        <w:rPr>
          <w:rFonts w:ascii="Times New Roman" w:hAnsi="Times New Roman" w:cs="Times New Roman"/>
          <w:sz w:val="24"/>
          <w:szCs w:val="24"/>
        </w:rPr>
        <w:t>arrow network plans</w:t>
      </w:r>
      <w:r w:rsidR="003604B5" w:rsidRPr="006F4A7F">
        <w:rPr>
          <w:rFonts w:ascii="Times New Roman" w:hAnsi="Times New Roman" w:cs="Times New Roman"/>
          <w:sz w:val="24"/>
          <w:szCs w:val="24"/>
        </w:rPr>
        <w:t xml:space="preserve"> </w:t>
      </w:r>
      <w:r w:rsidR="00881377" w:rsidRPr="006F4A7F">
        <w:rPr>
          <w:rFonts w:ascii="Times New Roman" w:hAnsi="Times New Roman" w:cs="Times New Roman"/>
          <w:sz w:val="24"/>
          <w:szCs w:val="24"/>
        </w:rPr>
        <w:t>are becoming</w:t>
      </w:r>
      <w:r w:rsidR="003604B5" w:rsidRPr="006F4A7F">
        <w:rPr>
          <w:rFonts w:ascii="Times New Roman" w:hAnsi="Times New Roman" w:cs="Times New Roman"/>
          <w:sz w:val="24"/>
          <w:szCs w:val="24"/>
        </w:rPr>
        <w:t xml:space="preserve"> </w:t>
      </w:r>
      <w:r w:rsidR="00881377" w:rsidRPr="006F4A7F">
        <w:rPr>
          <w:rFonts w:ascii="Times New Roman" w:hAnsi="Times New Roman" w:cs="Times New Roman"/>
          <w:sz w:val="24"/>
          <w:szCs w:val="24"/>
        </w:rPr>
        <w:t xml:space="preserve">more </w:t>
      </w:r>
      <w:r w:rsidR="003604B5" w:rsidRPr="006F4A7F">
        <w:rPr>
          <w:rFonts w:ascii="Times New Roman" w:hAnsi="Times New Roman" w:cs="Times New Roman"/>
          <w:sz w:val="24"/>
          <w:szCs w:val="24"/>
        </w:rPr>
        <w:t>popular</w:t>
      </w:r>
      <w:r w:rsidR="00881377" w:rsidRPr="006F4A7F">
        <w:rPr>
          <w:rFonts w:ascii="Times New Roman" w:hAnsi="Times New Roman" w:cs="Times New Roman"/>
          <w:sz w:val="24"/>
          <w:szCs w:val="24"/>
        </w:rPr>
        <w:t xml:space="preserve"> as a means to drive down health care costs</w:t>
      </w:r>
      <w:r w:rsidR="003604B5" w:rsidRPr="006F4A7F">
        <w:rPr>
          <w:rFonts w:ascii="Times New Roman" w:hAnsi="Times New Roman" w:cs="Times New Roman"/>
          <w:sz w:val="24"/>
          <w:szCs w:val="24"/>
        </w:rPr>
        <w:t xml:space="preserve">. </w:t>
      </w:r>
      <w:r w:rsidR="004A7279" w:rsidRPr="006F4A7F">
        <w:rPr>
          <w:rFonts w:ascii="Times New Roman" w:hAnsi="Times New Roman" w:cs="Times New Roman"/>
          <w:sz w:val="24"/>
          <w:szCs w:val="24"/>
        </w:rPr>
        <w:t>Th</w:t>
      </w:r>
      <w:r w:rsidR="00881377" w:rsidRPr="006F4A7F">
        <w:rPr>
          <w:rFonts w:ascii="Times New Roman" w:hAnsi="Times New Roman" w:cs="Times New Roman"/>
          <w:sz w:val="24"/>
          <w:szCs w:val="24"/>
        </w:rPr>
        <w:t>ese plans make up about 50% of m</w:t>
      </w:r>
      <w:r w:rsidR="004A7279" w:rsidRPr="006F4A7F">
        <w:rPr>
          <w:rFonts w:ascii="Times New Roman" w:hAnsi="Times New Roman" w:cs="Times New Roman"/>
          <w:sz w:val="24"/>
          <w:szCs w:val="24"/>
        </w:rPr>
        <w:t xml:space="preserve">arketplace offerings </w:t>
      </w:r>
      <w:r w:rsidR="00881377" w:rsidRPr="006F4A7F">
        <w:rPr>
          <w:rFonts w:ascii="Times New Roman" w:hAnsi="Times New Roman" w:cs="Times New Roman"/>
          <w:sz w:val="24"/>
          <w:szCs w:val="24"/>
        </w:rPr>
        <w:t xml:space="preserve">using a </w:t>
      </w:r>
      <w:r w:rsidR="004A7279" w:rsidRPr="006F4A7F">
        <w:rPr>
          <w:rFonts w:ascii="Times New Roman" w:hAnsi="Times New Roman" w:cs="Times New Roman"/>
          <w:sz w:val="24"/>
          <w:szCs w:val="24"/>
        </w:rPr>
        <w:t xml:space="preserve">combination of relatively low premiums and a </w:t>
      </w:r>
      <w:r w:rsidR="00881377" w:rsidRPr="006F4A7F">
        <w:rPr>
          <w:rFonts w:ascii="Times New Roman" w:hAnsi="Times New Roman" w:cs="Times New Roman"/>
          <w:sz w:val="24"/>
          <w:szCs w:val="24"/>
        </w:rPr>
        <w:t>limited</w:t>
      </w:r>
      <w:r w:rsidR="004A7279" w:rsidRPr="006F4A7F">
        <w:rPr>
          <w:rFonts w:ascii="Times New Roman" w:hAnsi="Times New Roman" w:cs="Times New Roman"/>
          <w:sz w:val="24"/>
          <w:szCs w:val="24"/>
        </w:rPr>
        <w:t xml:space="preserve"> choice of providers</w:t>
      </w:r>
      <w:r w:rsidR="0078658D" w:rsidRPr="006F4A7F">
        <w:rPr>
          <w:rFonts w:ascii="Times New Roman" w:hAnsi="Times New Roman" w:cs="Times New Roman"/>
          <w:sz w:val="24"/>
          <w:szCs w:val="24"/>
        </w:rPr>
        <w:t xml:space="preserve"> (“Regulation of Health Plan Provider Networks”, 2016).</w:t>
      </w:r>
    </w:p>
    <w:p w14:paraId="71B8685F" w14:textId="01836F53" w:rsidR="0061366C" w:rsidRPr="006F4A7F" w:rsidRDefault="00DE1EC4" w:rsidP="00AC15CE">
      <w:pPr>
        <w:spacing w:after="0" w:line="480" w:lineRule="auto"/>
        <w:ind w:firstLine="720"/>
        <w:jc w:val="both"/>
        <w:rPr>
          <w:rFonts w:ascii="Times New Roman" w:hAnsi="Times New Roman" w:cs="Times New Roman"/>
          <w:sz w:val="24"/>
          <w:szCs w:val="24"/>
        </w:rPr>
      </w:pPr>
      <w:r w:rsidRPr="006F4A7F">
        <w:rPr>
          <w:rFonts w:ascii="Times New Roman" w:hAnsi="Times New Roman" w:cs="Times New Roman"/>
          <w:sz w:val="24"/>
          <w:szCs w:val="24"/>
        </w:rPr>
        <w:t>The popularity of these plans allow insurance compan</w:t>
      </w:r>
      <w:r w:rsidR="00C33F92" w:rsidRPr="006F4A7F">
        <w:rPr>
          <w:rFonts w:ascii="Times New Roman" w:hAnsi="Times New Roman" w:cs="Times New Roman"/>
          <w:sz w:val="24"/>
          <w:szCs w:val="24"/>
        </w:rPr>
        <w:t>ies an upper hand to negotiate quality of care and costs</w:t>
      </w:r>
      <w:r w:rsidR="007A7DF3" w:rsidRPr="006F4A7F">
        <w:rPr>
          <w:rFonts w:ascii="Times New Roman" w:hAnsi="Times New Roman" w:cs="Times New Roman"/>
          <w:sz w:val="24"/>
          <w:szCs w:val="24"/>
        </w:rPr>
        <w:t xml:space="preserve"> with providers, in </w:t>
      </w:r>
      <w:r w:rsidR="00DD6386" w:rsidRPr="006F4A7F">
        <w:rPr>
          <w:rFonts w:ascii="Times New Roman" w:hAnsi="Times New Roman" w:cs="Times New Roman"/>
          <w:sz w:val="24"/>
          <w:szCs w:val="24"/>
        </w:rPr>
        <w:t>hopes of providing potentially</w:t>
      </w:r>
      <w:r w:rsidR="007A7DF3" w:rsidRPr="006F4A7F">
        <w:rPr>
          <w:rFonts w:ascii="Times New Roman" w:hAnsi="Times New Roman" w:cs="Times New Roman"/>
          <w:sz w:val="24"/>
          <w:szCs w:val="24"/>
        </w:rPr>
        <w:t xml:space="preserve"> higher value care. However, these plans have risks of being too narrow to offer care in a timely manner. </w:t>
      </w:r>
      <w:r w:rsidR="00DD6386" w:rsidRPr="006F4A7F">
        <w:rPr>
          <w:rFonts w:ascii="Times New Roman" w:hAnsi="Times New Roman" w:cs="Times New Roman"/>
          <w:sz w:val="24"/>
          <w:szCs w:val="24"/>
        </w:rPr>
        <w:t>S</w:t>
      </w:r>
      <w:r w:rsidR="007A7DF3" w:rsidRPr="006F4A7F">
        <w:rPr>
          <w:rFonts w:ascii="Times New Roman" w:hAnsi="Times New Roman" w:cs="Times New Roman"/>
          <w:sz w:val="24"/>
          <w:szCs w:val="24"/>
        </w:rPr>
        <w:t>ome networks lack in-network specialty physicians;</w:t>
      </w:r>
      <w:r w:rsidR="00267B27" w:rsidRPr="006F4A7F">
        <w:rPr>
          <w:rFonts w:ascii="Times New Roman" w:hAnsi="Times New Roman" w:cs="Times New Roman"/>
          <w:sz w:val="24"/>
          <w:szCs w:val="24"/>
        </w:rPr>
        <w:t xml:space="preserve"> many</w:t>
      </w:r>
      <w:r w:rsidR="003604B5" w:rsidRPr="006F4A7F">
        <w:rPr>
          <w:rFonts w:ascii="Times New Roman" w:hAnsi="Times New Roman" w:cs="Times New Roman"/>
          <w:sz w:val="24"/>
          <w:szCs w:val="24"/>
        </w:rPr>
        <w:t xml:space="preserve"> physicians are not open</w:t>
      </w:r>
      <w:r w:rsidR="007A7DF3" w:rsidRPr="006F4A7F">
        <w:rPr>
          <w:rFonts w:ascii="Times New Roman" w:hAnsi="Times New Roman" w:cs="Times New Roman"/>
          <w:sz w:val="24"/>
          <w:szCs w:val="24"/>
        </w:rPr>
        <w:t xml:space="preserve"> to taking new patients;</w:t>
      </w:r>
      <w:r w:rsidR="00267B27" w:rsidRPr="006F4A7F">
        <w:rPr>
          <w:rFonts w:ascii="Times New Roman" w:hAnsi="Times New Roman" w:cs="Times New Roman"/>
          <w:sz w:val="24"/>
          <w:szCs w:val="24"/>
        </w:rPr>
        <w:t xml:space="preserve"> some are not available within a reasonable time; and several have </w:t>
      </w:r>
      <w:r w:rsidR="00DD6386" w:rsidRPr="006F4A7F">
        <w:rPr>
          <w:rFonts w:ascii="Times New Roman" w:hAnsi="Times New Roman" w:cs="Times New Roman"/>
          <w:sz w:val="24"/>
          <w:szCs w:val="24"/>
        </w:rPr>
        <w:t>no interpreters</w:t>
      </w:r>
      <w:r w:rsidR="00203EBA">
        <w:rPr>
          <w:rFonts w:ascii="Times New Roman" w:hAnsi="Times New Roman" w:cs="Times New Roman"/>
          <w:sz w:val="24"/>
          <w:szCs w:val="24"/>
        </w:rPr>
        <w:t xml:space="preserve"> to communicate with patients</w:t>
      </w:r>
      <w:r w:rsidR="00267B27" w:rsidRPr="006F4A7F">
        <w:rPr>
          <w:rFonts w:ascii="Times New Roman" w:hAnsi="Times New Roman" w:cs="Times New Roman"/>
          <w:sz w:val="24"/>
          <w:szCs w:val="24"/>
        </w:rPr>
        <w:t xml:space="preserve">. This causes the plan enrollees to look for out-of-network providers, resulting in </w:t>
      </w:r>
      <w:r w:rsidR="00DD6386" w:rsidRPr="006F4A7F">
        <w:rPr>
          <w:rFonts w:ascii="Times New Roman" w:hAnsi="Times New Roman" w:cs="Times New Roman"/>
          <w:sz w:val="24"/>
          <w:szCs w:val="24"/>
        </w:rPr>
        <w:t>higher out-of-pocket expenses for consumers. Approximately 22% of m</w:t>
      </w:r>
      <w:r w:rsidR="00267B27" w:rsidRPr="006F4A7F">
        <w:rPr>
          <w:rFonts w:ascii="Times New Roman" w:hAnsi="Times New Roman" w:cs="Times New Roman"/>
          <w:sz w:val="24"/>
          <w:szCs w:val="24"/>
        </w:rPr>
        <w:t>arketplace plan networks were too narrow, in terms of having 30% to 70% of area hospitals in-network (“Regulation of Health Plan Pro</w:t>
      </w:r>
      <w:r w:rsidR="008509C2" w:rsidRPr="006F4A7F">
        <w:rPr>
          <w:rFonts w:ascii="Times New Roman" w:hAnsi="Times New Roman" w:cs="Times New Roman"/>
          <w:sz w:val="24"/>
          <w:szCs w:val="24"/>
        </w:rPr>
        <w:t>vider Networks”, 2016)</w:t>
      </w:r>
      <w:r w:rsidR="00267B27" w:rsidRPr="006F4A7F">
        <w:rPr>
          <w:rFonts w:ascii="Times New Roman" w:hAnsi="Times New Roman" w:cs="Times New Roman"/>
          <w:sz w:val="24"/>
          <w:szCs w:val="24"/>
        </w:rPr>
        <w:t>.</w:t>
      </w:r>
      <w:r w:rsidR="00617863" w:rsidRPr="006F4A7F">
        <w:rPr>
          <w:rFonts w:ascii="Times New Roman" w:hAnsi="Times New Roman" w:cs="Times New Roman"/>
          <w:sz w:val="24"/>
          <w:szCs w:val="24"/>
        </w:rPr>
        <w:t xml:space="preserve"> </w:t>
      </w:r>
      <w:r w:rsidR="005354A1" w:rsidRPr="006F4A7F">
        <w:rPr>
          <w:rFonts w:ascii="Times New Roman" w:hAnsi="Times New Roman" w:cs="Times New Roman"/>
          <w:sz w:val="24"/>
          <w:szCs w:val="24"/>
        </w:rPr>
        <w:t>Moreover</w:t>
      </w:r>
      <w:r w:rsidR="00617863" w:rsidRPr="006F4A7F">
        <w:rPr>
          <w:rFonts w:ascii="Times New Roman" w:hAnsi="Times New Roman" w:cs="Times New Roman"/>
          <w:sz w:val="24"/>
          <w:szCs w:val="24"/>
        </w:rPr>
        <w:t xml:space="preserve">, findings from previous research hint to a network’s size </w:t>
      </w:r>
      <w:r w:rsidR="00A128CD" w:rsidRPr="006F4A7F">
        <w:rPr>
          <w:rFonts w:ascii="Times New Roman" w:hAnsi="Times New Roman" w:cs="Times New Roman"/>
          <w:sz w:val="24"/>
          <w:szCs w:val="24"/>
        </w:rPr>
        <w:t xml:space="preserve">and care-offered decreasing over time. </w:t>
      </w:r>
    </w:p>
    <w:p w14:paraId="4A88EB8A" w14:textId="77777777" w:rsidR="0061366C" w:rsidRPr="006F4A7F" w:rsidRDefault="0061366C" w:rsidP="00AC15CE">
      <w:pPr>
        <w:spacing w:after="0" w:line="480" w:lineRule="auto"/>
        <w:ind w:firstLine="720"/>
        <w:jc w:val="both"/>
        <w:rPr>
          <w:rFonts w:ascii="Times New Roman" w:hAnsi="Times New Roman" w:cs="Times New Roman"/>
          <w:sz w:val="24"/>
          <w:szCs w:val="24"/>
        </w:rPr>
      </w:pPr>
      <w:r w:rsidRPr="006F4A7F">
        <w:rPr>
          <w:rFonts w:ascii="Times New Roman" w:hAnsi="Times New Roman" w:cs="Times New Roman"/>
          <w:sz w:val="24"/>
          <w:szCs w:val="24"/>
        </w:rPr>
        <w:t>The Affordable Care Act requires that provider networks on exchanges offer a sufficient number and type of providers so all services are accessible without unreasonable delay. Also, plans are required to disclose their provider directories to the marketplace for online publication (Minnesot</w:t>
      </w:r>
      <w:r w:rsidR="00A64AFD" w:rsidRPr="006F4A7F">
        <w:rPr>
          <w:rFonts w:ascii="Times New Roman" w:hAnsi="Times New Roman" w:cs="Times New Roman"/>
          <w:sz w:val="24"/>
          <w:szCs w:val="24"/>
        </w:rPr>
        <w:t>a requires quarterly updates)</w:t>
      </w:r>
      <w:r w:rsidRPr="006F4A7F">
        <w:rPr>
          <w:rFonts w:ascii="Times New Roman" w:hAnsi="Times New Roman" w:cs="Times New Roman"/>
          <w:sz w:val="24"/>
          <w:szCs w:val="24"/>
        </w:rPr>
        <w:t>.</w:t>
      </w:r>
      <w:r w:rsidR="00A64AFD" w:rsidRPr="006F4A7F">
        <w:rPr>
          <w:rFonts w:ascii="Times New Roman" w:hAnsi="Times New Roman" w:cs="Times New Roman"/>
          <w:sz w:val="24"/>
          <w:szCs w:val="24"/>
        </w:rPr>
        <w:t xml:space="preserve"> </w:t>
      </w:r>
      <w:r w:rsidRPr="006F4A7F">
        <w:rPr>
          <w:rFonts w:ascii="Times New Roman" w:hAnsi="Times New Roman" w:cs="Times New Roman"/>
          <w:sz w:val="24"/>
          <w:szCs w:val="24"/>
        </w:rPr>
        <w:t xml:space="preserve">Twenty-seven states have developed quantitative standards for network adequacy, such as the maximum amount of time and/or distance an enrollee </w:t>
      </w:r>
      <w:r w:rsidRPr="006F4A7F">
        <w:rPr>
          <w:rFonts w:ascii="Times New Roman" w:hAnsi="Times New Roman" w:cs="Times New Roman"/>
          <w:sz w:val="24"/>
          <w:szCs w:val="24"/>
        </w:rPr>
        <w:lastRenderedPageBreak/>
        <w:t xml:space="preserve">must travel to access covered services. In Minnesota network adequacy is defined as the lesser of 30 miles or 30 minutes to the nearest provider for primary care, mental health and hospital services and 60 miles or 60 minutes to the nearest provider of specialty, ancillary, specialized hospital and other services (referred to as the 30/60 rule). </w:t>
      </w:r>
    </w:p>
    <w:p w14:paraId="01C0DDAF" w14:textId="77777777" w:rsidR="00A9799A" w:rsidRPr="006F4A7F" w:rsidRDefault="00A9799A" w:rsidP="00AC15CE">
      <w:pPr>
        <w:spacing w:after="0" w:line="480" w:lineRule="auto"/>
        <w:ind w:firstLine="720"/>
        <w:jc w:val="both"/>
        <w:rPr>
          <w:rFonts w:ascii="Times New Roman" w:hAnsi="Times New Roman" w:cs="Times New Roman"/>
          <w:sz w:val="24"/>
          <w:szCs w:val="24"/>
        </w:rPr>
      </w:pPr>
      <w:r w:rsidRPr="006F4A7F">
        <w:rPr>
          <w:rFonts w:ascii="Times New Roman" w:hAnsi="Times New Roman" w:cs="Times New Roman"/>
          <w:sz w:val="24"/>
          <w:szCs w:val="24"/>
        </w:rPr>
        <w:t xml:space="preserve">Using Geographic Information Systems (GIS) and public information from the Minnesota Department of Health and the Minnesota Department of Human Services, faculty members and I will analyze data and calculate statistics appropriately. We will be assessing whether health insurance plans meet network adequacy requirements, the number of state waivers obtained by health insurance carriers (to waive the network requirements), and the policy implications of enforcing the network adequacy rules. </w:t>
      </w:r>
    </w:p>
    <w:p w14:paraId="5F05402A" w14:textId="77260F5C" w:rsidR="000E216D" w:rsidRPr="006F4A7F" w:rsidRDefault="00FB5904" w:rsidP="00AC15CE">
      <w:pPr>
        <w:spacing w:after="0" w:line="480" w:lineRule="auto"/>
        <w:ind w:firstLine="720"/>
        <w:jc w:val="both"/>
        <w:rPr>
          <w:rFonts w:ascii="Times New Roman" w:hAnsi="Times New Roman" w:cs="Times New Roman"/>
          <w:sz w:val="24"/>
          <w:szCs w:val="24"/>
        </w:rPr>
      </w:pPr>
      <w:r w:rsidRPr="006F4A7F">
        <w:rPr>
          <w:rFonts w:ascii="Times New Roman" w:hAnsi="Times New Roman" w:cs="Times New Roman"/>
          <w:sz w:val="24"/>
          <w:szCs w:val="24"/>
        </w:rPr>
        <w:t>Over the span of 15</w:t>
      </w:r>
      <w:r w:rsidR="00E6641E" w:rsidRPr="006F4A7F">
        <w:rPr>
          <w:rFonts w:ascii="Times New Roman" w:hAnsi="Times New Roman" w:cs="Times New Roman"/>
          <w:sz w:val="24"/>
          <w:szCs w:val="24"/>
        </w:rPr>
        <w:t xml:space="preserve"> weeks, I plan to</w:t>
      </w:r>
      <w:r w:rsidRPr="006F4A7F">
        <w:rPr>
          <w:rFonts w:ascii="Times New Roman" w:hAnsi="Times New Roman" w:cs="Times New Roman"/>
          <w:sz w:val="24"/>
          <w:szCs w:val="24"/>
        </w:rPr>
        <w:t xml:space="preserve"> alloc</w:t>
      </w:r>
      <w:r w:rsidR="00E9715F" w:rsidRPr="006F4A7F">
        <w:rPr>
          <w:rFonts w:ascii="Times New Roman" w:hAnsi="Times New Roman" w:cs="Times New Roman"/>
          <w:sz w:val="24"/>
          <w:szCs w:val="24"/>
        </w:rPr>
        <w:t>ate 2</w:t>
      </w:r>
      <w:r w:rsidRPr="006F4A7F">
        <w:rPr>
          <w:rFonts w:ascii="Times New Roman" w:hAnsi="Times New Roman" w:cs="Times New Roman"/>
          <w:sz w:val="24"/>
          <w:szCs w:val="24"/>
        </w:rPr>
        <w:t xml:space="preserve"> weeks to rese</w:t>
      </w:r>
      <w:r w:rsidR="00BD4B0D" w:rsidRPr="006F4A7F">
        <w:rPr>
          <w:rFonts w:ascii="Times New Roman" w:hAnsi="Times New Roman" w:cs="Times New Roman"/>
          <w:sz w:val="24"/>
          <w:szCs w:val="24"/>
        </w:rPr>
        <w:t>arch setup</w:t>
      </w:r>
      <w:r w:rsidRPr="006F4A7F">
        <w:rPr>
          <w:rFonts w:ascii="Times New Roman" w:hAnsi="Times New Roman" w:cs="Times New Roman"/>
          <w:sz w:val="24"/>
          <w:szCs w:val="24"/>
        </w:rPr>
        <w:t xml:space="preserve">; </w:t>
      </w:r>
      <w:r w:rsidR="00E9715F" w:rsidRPr="006F4A7F">
        <w:rPr>
          <w:rFonts w:ascii="Times New Roman" w:hAnsi="Times New Roman" w:cs="Times New Roman"/>
          <w:sz w:val="24"/>
          <w:szCs w:val="24"/>
        </w:rPr>
        <w:t>5</w:t>
      </w:r>
      <w:r w:rsidRPr="006F4A7F">
        <w:rPr>
          <w:rFonts w:ascii="Times New Roman" w:hAnsi="Times New Roman" w:cs="Times New Roman"/>
          <w:sz w:val="24"/>
          <w:szCs w:val="24"/>
        </w:rPr>
        <w:t xml:space="preserve"> weeks for data collection; </w:t>
      </w:r>
      <w:r w:rsidR="00E9715F" w:rsidRPr="006F4A7F">
        <w:rPr>
          <w:rFonts w:ascii="Times New Roman" w:hAnsi="Times New Roman" w:cs="Times New Roman"/>
          <w:sz w:val="24"/>
          <w:szCs w:val="24"/>
        </w:rPr>
        <w:t xml:space="preserve">4 weeks for data analysis; 3 weeks for assembling the research into a paper and poster; 1 week will be put aside for buffer time. </w:t>
      </w:r>
      <w:r w:rsidR="000E216D" w:rsidRPr="006F4A7F">
        <w:rPr>
          <w:rFonts w:ascii="Times New Roman" w:hAnsi="Times New Roman" w:cs="Times New Roman"/>
          <w:sz w:val="24"/>
          <w:szCs w:val="24"/>
        </w:rPr>
        <w:t xml:space="preserve">An itemized expense description for the requested stipend and expenses is below. </w:t>
      </w:r>
    </w:p>
    <w:tbl>
      <w:tblPr>
        <w:tblStyle w:val="TableGrid"/>
        <w:tblW w:w="0" w:type="auto"/>
        <w:tblInd w:w="1132" w:type="dxa"/>
        <w:tblLook w:val="04A0" w:firstRow="1" w:lastRow="0" w:firstColumn="1" w:lastColumn="0" w:noHBand="0" w:noVBand="1"/>
      </w:tblPr>
      <w:tblGrid>
        <w:gridCol w:w="4574"/>
        <w:gridCol w:w="2525"/>
      </w:tblGrid>
      <w:tr w:rsidR="006F4A7F" w:rsidRPr="006F4A7F" w14:paraId="2CE93587" w14:textId="77777777" w:rsidTr="00AC15CE">
        <w:trPr>
          <w:trHeight w:val="278"/>
        </w:trPr>
        <w:tc>
          <w:tcPr>
            <w:tcW w:w="4574" w:type="dxa"/>
          </w:tcPr>
          <w:p w14:paraId="677B70F0" w14:textId="77777777" w:rsidR="000E216D" w:rsidRPr="006F4A7F" w:rsidRDefault="000E216D" w:rsidP="00AC15CE">
            <w:pPr>
              <w:rPr>
                <w:rFonts w:ascii="Times New Roman" w:hAnsi="Times New Roman" w:cs="Times New Roman"/>
                <w:b/>
                <w:sz w:val="24"/>
                <w:szCs w:val="24"/>
              </w:rPr>
            </w:pPr>
            <w:r w:rsidRPr="006F4A7F">
              <w:rPr>
                <w:rFonts w:ascii="Times New Roman" w:hAnsi="Times New Roman" w:cs="Times New Roman"/>
                <w:b/>
                <w:sz w:val="24"/>
                <w:szCs w:val="24"/>
              </w:rPr>
              <w:t>Source:</w:t>
            </w:r>
          </w:p>
        </w:tc>
        <w:tc>
          <w:tcPr>
            <w:tcW w:w="2525" w:type="dxa"/>
          </w:tcPr>
          <w:p w14:paraId="05A88454" w14:textId="77777777" w:rsidR="000E216D" w:rsidRPr="006F4A7F" w:rsidRDefault="000E216D" w:rsidP="00AC15CE">
            <w:pPr>
              <w:rPr>
                <w:rFonts w:ascii="Times New Roman" w:hAnsi="Times New Roman" w:cs="Times New Roman"/>
                <w:b/>
                <w:sz w:val="24"/>
                <w:szCs w:val="24"/>
              </w:rPr>
            </w:pPr>
            <w:r w:rsidRPr="006F4A7F">
              <w:rPr>
                <w:rFonts w:ascii="Times New Roman" w:hAnsi="Times New Roman" w:cs="Times New Roman"/>
                <w:b/>
                <w:sz w:val="24"/>
                <w:szCs w:val="24"/>
              </w:rPr>
              <w:t>Requested Amount:</w:t>
            </w:r>
          </w:p>
        </w:tc>
      </w:tr>
      <w:tr w:rsidR="006F4A7F" w:rsidRPr="006F4A7F" w14:paraId="7AD47AA5" w14:textId="77777777" w:rsidTr="00AC15CE">
        <w:trPr>
          <w:trHeight w:val="356"/>
        </w:trPr>
        <w:tc>
          <w:tcPr>
            <w:tcW w:w="4574" w:type="dxa"/>
          </w:tcPr>
          <w:p w14:paraId="09B73990" w14:textId="2C03EFBF" w:rsidR="000E216D" w:rsidRPr="006F4A7F" w:rsidRDefault="000E216D" w:rsidP="00AC15CE">
            <w:pPr>
              <w:rPr>
                <w:rFonts w:ascii="Times New Roman" w:hAnsi="Times New Roman" w:cs="Times New Roman"/>
                <w:sz w:val="24"/>
                <w:szCs w:val="24"/>
              </w:rPr>
            </w:pPr>
            <w:r w:rsidRPr="006F4A7F">
              <w:rPr>
                <w:rFonts w:ascii="Times New Roman" w:hAnsi="Times New Roman" w:cs="Times New Roman"/>
                <w:sz w:val="24"/>
                <w:szCs w:val="24"/>
              </w:rPr>
              <w:t>Research Compensation</w:t>
            </w:r>
          </w:p>
        </w:tc>
        <w:tc>
          <w:tcPr>
            <w:tcW w:w="2525" w:type="dxa"/>
          </w:tcPr>
          <w:p w14:paraId="552801A8" w14:textId="77777777" w:rsidR="000E216D" w:rsidRPr="006F4A7F" w:rsidRDefault="000E216D" w:rsidP="00AC15CE">
            <w:pPr>
              <w:rPr>
                <w:rFonts w:ascii="Times New Roman" w:hAnsi="Times New Roman" w:cs="Times New Roman"/>
                <w:sz w:val="24"/>
                <w:szCs w:val="24"/>
              </w:rPr>
            </w:pPr>
            <w:r w:rsidRPr="006F4A7F">
              <w:rPr>
                <w:rFonts w:ascii="Times New Roman" w:hAnsi="Times New Roman" w:cs="Times New Roman"/>
                <w:sz w:val="24"/>
                <w:szCs w:val="24"/>
              </w:rPr>
              <w:t>$1500</w:t>
            </w:r>
          </w:p>
        </w:tc>
      </w:tr>
      <w:tr w:rsidR="006F4A7F" w:rsidRPr="006F4A7F" w14:paraId="59CB6456" w14:textId="77777777" w:rsidTr="00AC15CE">
        <w:trPr>
          <w:trHeight w:val="367"/>
        </w:trPr>
        <w:tc>
          <w:tcPr>
            <w:tcW w:w="4574" w:type="dxa"/>
          </w:tcPr>
          <w:p w14:paraId="44720C5E" w14:textId="2E1141F6" w:rsidR="000E216D" w:rsidRPr="006F4A7F" w:rsidRDefault="000E216D" w:rsidP="00AC15CE">
            <w:pPr>
              <w:rPr>
                <w:rFonts w:ascii="Times New Roman" w:hAnsi="Times New Roman" w:cs="Times New Roman"/>
                <w:sz w:val="24"/>
                <w:szCs w:val="24"/>
              </w:rPr>
            </w:pPr>
            <w:r w:rsidRPr="006F4A7F">
              <w:rPr>
                <w:rFonts w:ascii="Times New Roman" w:hAnsi="Times New Roman" w:cs="Times New Roman"/>
                <w:sz w:val="24"/>
                <w:szCs w:val="24"/>
              </w:rPr>
              <w:t>Printing/photocopying</w:t>
            </w:r>
          </w:p>
        </w:tc>
        <w:tc>
          <w:tcPr>
            <w:tcW w:w="2525" w:type="dxa"/>
          </w:tcPr>
          <w:p w14:paraId="665158E0" w14:textId="77777777" w:rsidR="000E216D" w:rsidRPr="006F4A7F" w:rsidRDefault="000E216D" w:rsidP="00AC15CE">
            <w:pPr>
              <w:rPr>
                <w:rFonts w:ascii="Times New Roman" w:hAnsi="Times New Roman" w:cs="Times New Roman"/>
                <w:sz w:val="24"/>
                <w:szCs w:val="24"/>
              </w:rPr>
            </w:pPr>
            <w:r w:rsidRPr="006F4A7F">
              <w:rPr>
                <w:rFonts w:ascii="Times New Roman" w:hAnsi="Times New Roman" w:cs="Times New Roman"/>
                <w:sz w:val="24"/>
                <w:szCs w:val="24"/>
              </w:rPr>
              <w:t>$50</w:t>
            </w:r>
          </w:p>
        </w:tc>
      </w:tr>
      <w:tr w:rsidR="006F4A7F" w:rsidRPr="006F4A7F" w14:paraId="0876D6B8" w14:textId="77777777" w:rsidTr="00AC15CE">
        <w:trPr>
          <w:trHeight w:val="367"/>
        </w:trPr>
        <w:tc>
          <w:tcPr>
            <w:tcW w:w="4574" w:type="dxa"/>
          </w:tcPr>
          <w:p w14:paraId="6AD524B6" w14:textId="77777777" w:rsidR="000E216D" w:rsidRPr="006F4A7F" w:rsidRDefault="000E216D" w:rsidP="00AC15CE">
            <w:pPr>
              <w:rPr>
                <w:rFonts w:ascii="Times New Roman" w:hAnsi="Times New Roman" w:cs="Times New Roman"/>
                <w:sz w:val="24"/>
                <w:szCs w:val="24"/>
              </w:rPr>
            </w:pPr>
            <w:r w:rsidRPr="006F4A7F">
              <w:rPr>
                <w:rFonts w:ascii="Times New Roman" w:hAnsi="Times New Roman" w:cs="Times New Roman"/>
                <w:sz w:val="24"/>
                <w:szCs w:val="24"/>
              </w:rPr>
              <w:t>Phone</w:t>
            </w:r>
          </w:p>
        </w:tc>
        <w:tc>
          <w:tcPr>
            <w:tcW w:w="2525" w:type="dxa"/>
          </w:tcPr>
          <w:p w14:paraId="0DEE426C" w14:textId="77777777" w:rsidR="000E216D" w:rsidRPr="006F4A7F" w:rsidRDefault="000E216D" w:rsidP="00AC15CE">
            <w:pPr>
              <w:rPr>
                <w:rFonts w:ascii="Times New Roman" w:hAnsi="Times New Roman" w:cs="Times New Roman"/>
                <w:sz w:val="24"/>
                <w:szCs w:val="24"/>
              </w:rPr>
            </w:pPr>
            <w:r w:rsidRPr="006F4A7F">
              <w:rPr>
                <w:rFonts w:ascii="Times New Roman" w:hAnsi="Times New Roman" w:cs="Times New Roman"/>
                <w:sz w:val="24"/>
                <w:szCs w:val="24"/>
              </w:rPr>
              <w:t>$50</w:t>
            </w:r>
          </w:p>
        </w:tc>
      </w:tr>
      <w:tr w:rsidR="006F4A7F" w:rsidRPr="006F4A7F" w14:paraId="4716AAEF" w14:textId="77777777" w:rsidTr="00AC15CE">
        <w:trPr>
          <w:trHeight w:val="367"/>
        </w:trPr>
        <w:tc>
          <w:tcPr>
            <w:tcW w:w="4574" w:type="dxa"/>
          </w:tcPr>
          <w:p w14:paraId="52180E22" w14:textId="77777777" w:rsidR="000E216D" w:rsidRPr="006F4A7F" w:rsidRDefault="000E216D" w:rsidP="00AC15CE">
            <w:pPr>
              <w:rPr>
                <w:rFonts w:ascii="Times New Roman" w:hAnsi="Times New Roman" w:cs="Times New Roman"/>
                <w:sz w:val="24"/>
                <w:szCs w:val="24"/>
              </w:rPr>
            </w:pPr>
            <w:r w:rsidRPr="006F4A7F">
              <w:rPr>
                <w:rFonts w:ascii="Times New Roman" w:hAnsi="Times New Roman" w:cs="Times New Roman"/>
                <w:sz w:val="24"/>
                <w:szCs w:val="24"/>
              </w:rPr>
              <w:t>Literature search</w:t>
            </w:r>
          </w:p>
        </w:tc>
        <w:tc>
          <w:tcPr>
            <w:tcW w:w="2525" w:type="dxa"/>
          </w:tcPr>
          <w:p w14:paraId="7FE31E84" w14:textId="77777777" w:rsidR="000E216D" w:rsidRPr="006F4A7F" w:rsidRDefault="000E216D" w:rsidP="00AC15CE">
            <w:pPr>
              <w:rPr>
                <w:rFonts w:ascii="Times New Roman" w:hAnsi="Times New Roman" w:cs="Times New Roman"/>
                <w:sz w:val="24"/>
                <w:szCs w:val="24"/>
              </w:rPr>
            </w:pPr>
            <w:r w:rsidRPr="006F4A7F">
              <w:rPr>
                <w:rFonts w:ascii="Times New Roman" w:hAnsi="Times New Roman" w:cs="Times New Roman"/>
                <w:sz w:val="24"/>
                <w:szCs w:val="24"/>
              </w:rPr>
              <w:t>$50</w:t>
            </w:r>
          </w:p>
        </w:tc>
      </w:tr>
      <w:tr w:rsidR="006F4A7F" w:rsidRPr="006F4A7F" w14:paraId="4ED469A9" w14:textId="77777777" w:rsidTr="00AC15CE">
        <w:trPr>
          <w:trHeight w:val="377"/>
        </w:trPr>
        <w:tc>
          <w:tcPr>
            <w:tcW w:w="4574" w:type="dxa"/>
          </w:tcPr>
          <w:p w14:paraId="4BA86BC4" w14:textId="77777777" w:rsidR="000E216D" w:rsidRPr="006F4A7F" w:rsidRDefault="000E216D" w:rsidP="00AC15CE">
            <w:pPr>
              <w:rPr>
                <w:rFonts w:ascii="Times New Roman" w:hAnsi="Times New Roman" w:cs="Times New Roman"/>
                <w:sz w:val="24"/>
                <w:szCs w:val="24"/>
              </w:rPr>
            </w:pPr>
            <w:r w:rsidRPr="006F4A7F">
              <w:rPr>
                <w:rFonts w:ascii="Times New Roman" w:hAnsi="Times New Roman" w:cs="Times New Roman"/>
                <w:sz w:val="24"/>
                <w:szCs w:val="24"/>
              </w:rPr>
              <w:t>Poster</w:t>
            </w:r>
          </w:p>
        </w:tc>
        <w:tc>
          <w:tcPr>
            <w:tcW w:w="2525" w:type="dxa"/>
          </w:tcPr>
          <w:p w14:paraId="173B08FC" w14:textId="77777777" w:rsidR="000E216D" w:rsidRPr="006F4A7F" w:rsidRDefault="000E216D" w:rsidP="00AC15CE">
            <w:pPr>
              <w:rPr>
                <w:rFonts w:ascii="Times New Roman" w:hAnsi="Times New Roman" w:cs="Times New Roman"/>
                <w:sz w:val="24"/>
                <w:szCs w:val="24"/>
              </w:rPr>
            </w:pPr>
            <w:r w:rsidRPr="006F4A7F">
              <w:rPr>
                <w:rFonts w:ascii="Times New Roman" w:hAnsi="Times New Roman" w:cs="Times New Roman"/>
                <w:sz w:val="24"/>
                <w:szCs w:val="24"/>
              </w:rPr>
              <w:t>$150</w:t>
            </w:r>
          </w:p>
        </w:tc>
      </w:tr>
    </w:tbl>
    <w:p w14:paraId="48A0ADC5" w14:textId="77777777" w:rsidR="006F4A7F" w:rsidRPr="006F4A7F" w:rsidRDefault="006F4A7F" w:rsidP="00AC15CE">
      <w:pPr>
        <w:spacing w:after="0" w:line="480" w:lineRule="auto"/>
        <w:ind w:firstLine="720"/>
        <w:jc w:val="both"/>
        <w:rPr>
          <w:rFonts w:ascii="Times New Roman" w:hAnsi="Times New Roman" w:cs="Times New Roman"/>
          <w:sz w:val="24"/>
          <w:szCs w:val="24"/>
        </w:rPr>
      </w:pPr>
    </w:p>
    <w:p w14:paraId="3343530F" w14:textId="2A84EDB9" w:rsidR="00617863" w:rsidRPr="006F4A7F" w:rsidRDefault="005D57BD" w:rsidP="00AC15CE">
      <w:pPr>
        <w:spacing w:after="0" w:line="480" w:lineRule="auto"/>
        <w:ind w:firstLine="720"/>
        <w:jc w:val="both"/>
        <w:rPr>
          <w:rFonts w:ascii="Times New Roman" w:hAnsi="Times New Roman" w:cs="Times New Roman"/>
          <w:sz w:val="24"/>
          <w:szCs w:val="24"/>
        </w:rPr>
      </w:pPr>
      <w:r w:rsidRPr="006F4A7F">
        <w:rPr>
          <w:rFonts w:ascii="Times New Roman" w:hAnsi="Times New Roman" w:cs="Times New Roman"/>
          <w:sz w:val="24"/>
          <w:szCs w:val="24"/>
        </w:rPr>
        <w:t xml:space="preserve">The analysis will provide information to Minnesota agencies </w:t>
      </w:r>
      <w:r w:rsidR="00A9799A" w:rsidRPr="006F4A7F">
        <w:rPr>
          <w:rFonts w:ascii="Times New Roman" w:hAnsi="Times New Roman" w:cs="Times New Roman"/>
          <w:sz w:val="24"/>
          <w:szCs w:val="24"/>
        </w:rPr>
        <w:t xml:space="preserve">and state legislators </w:t>
      </w:r>
      <w:r w:rsidRPr="006F4A7F">
        <w:rPr>
          <w:rFonts w:ascii="Times New Roman" w:hAnsi="Times New Roman" w:cs="Times New Roman"/>
          <w:sz w:val="24"/>
          <w:szCs w:val="24"/>
        </w:rPr>
        <w:t>with regard to network adequacy and whether health plans operating in Minnesota comply with state and insurance regulati</w:t>
      </w:r>
      <w:r w:rsidR="00A9799A" w:rsidRPr="006F4A7F">
        <w:rPr>
          <w:rFonts w:ascii="Times New Roman" w:hAnsi="Times New Roman" w:cs="Times New Roman"/>
          <w:sz w:val="24"/>
          <w:szCs w:val="24"/>
        </w:rPr>
        <w:t>ons</w:t>
      </w:r>
      <w:r w:rsidRPr="006F4A7F">
        <w:rPr>
          <w:rFonts w:ascii="Times New Roman" w:hAnsi="Times New Roman" w:cs="Times New Roman"/>
          <w:sz w:val="24"/>
          <w:szCs w:val="24"/>
        </w:rPr>
        <w:t>. This will inform policy makers on the need to strengthen insurance regulations.</w:t>
      </w:r>
      <w:r w:rsidR="00A64AFD" w:rsidRPr="006F4A7F">
        <w:rPr>
          <w:rFonts w:ascii="Times New Roman" w:hAnsi="Times New Roman" w:cs="Times New Roman"/>
          <w:sz w:val="24"/>
          <w:szCs w:val="24"/>
        </w:rPr>
        <w:t xml:space="preserve"> </w:t>
      </w:r>
      <w:r w:rsidR="001F4B05" w:rsidRPr="006F4A7F">
        <w:rPr>
          <w:rFonts w:ascii="Times New Roman" w:hAnsi="Times New Roman" w:cs="Times New Roman"/>
          <w:sz w:val="24"/>
          <w:szCs w:val="24"/>
        </w:rPr>
        <w:t xml:space="preserve">Furthermore, I intend to do a poster presentation of my research at the UMD Undergraduate Artistic/Research Showcase. </w:t>
      </w:r>
    </w:p>
    <w:sectPr w:rsidR="00617863" w:rsidRPr="006F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E6AAB"/>
    <w:multiLevelType w:val="multilevel"/>
    <w:tmpl w:val="FAFE7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DF"/>
    <w:rsid w:val="000118EF"/>
    <w:rsid w:val="000473A8"/>
    <w:rsid w:val="00077080"/>
    <w:rsid w:val="00083A4B"/>
    <w:rsid w:val="000A26C1"/>
    <w:rsid w:val="000B202D"/>
    <w:rsid w:val="000C2D79"/>
    <w:rsid w:val="000C6189"/>
    <w:rsid w:val="000E216D"/>
    <w:rsid w:val="00110DE1"/>
    <w:rsid w:val="00136590"/>
    <w:rsid w:val="00152DDF"/>
    <w:rsid w:val="00191C2A"/>
    <w:rsid w:val="00191CAC"/>
    <w:rsid w:val="001F4B05"/>
    <w:rsid w:val="00203EBA"/>
    <w:rsid w:val="00213A1F"/>
    <w:rsid w:val="00230B1A"/>
    <w:rsid w:val="00234510"/>
    <w:rsid w:val="00256A6C"/>
    <w:rsid w:val="00267B27"/>
    <w:rsid w:val="002877A7"/>
    <w:rsid w:val="002A7111"/>
    <w:rsid w:val="002C0395"/>
    <w:rsid w:val="003268EE"/>
    <w:rsid w:val="003604B5"/>
    <w:rsid w:val="003A3018"/>
    <w:rsid w:val="003B6FD2"/>
    <w:rsid w:val="004903E5"/>
    <w:rsid w:val="004A7279"/>
    <w:rsid w:val="004C24E5"/>
    <w:rsid w:val="004F6216"/>
    <w:rsid w:val="004F650D"/>
    <w:rsid w:val="005354A1"/>
    <w:rsid w:val="00542662"/>
    <w:rsid w:val="00545DB4"/>
    <w:rsid w:val="00592530"/>
    <w:rsid w:val="005965A1"/>
    <w:rsid w:val="005D57BD"/>
    <w:rsid w:val="00605FE2"/>
    <w:rsid w:val="0061366C"/>
    <w:rsid w:val="00617863"/>
    <w:rsid w:val="00641A25"/>
    <w:rsid w:val="00644DFD"/>
    <w:rsid w:val="00653DF8"/>
    <w:rsid w:val="00662193"/>
    <w:rsid w:val="00683594"/>
    <w:rsid w:val="006E4BDC"/>
    <w:rsid w:val="006F4A7F"/>
    <w:rsid w:val="00700988"/>
    <w:rsid w:val="0078658D"/>
    <w:rsid w:val="007A6CCA"/>
    <w:rsid w:val="007A7DF3"/>
    <w:rsid w:val="007D7746"/>
    <w:rsid w:val="007E55D6"/>
    <w:rsid w:val="007F1ABE"/>
    <w:rsid w:val="008509C2"/>
    <w:rsid w:val="00881377"/>
    <w:rsid w:val="008B5064"/>
    <w:rsid w:val="008D2213"/>
    <w:rsid w:val="008D79B5"/>
    <w:rsid w:val="008E566B"/>
    <w:rsid w:val="0090546E"/>
    <w:rsid w:val="00924B46"/>
    <w:rsid w:val="00934F77"/>
    <w:rsid w:val="00962787"/>
    <w:rsid w:val="00991891"/>
    <w:rsid w:val="009A27CA"/>
    <w:rsid w:val="00A11ED0"/>
    <w:rsid w:val="00A128CD"/>
    <w:rsid w:val="00A2635E"/>
    <w:rsid w:val="00A33C83"/>
    <w:rsid w:val="00A51347"/>
    <w:rsid w:val="00A64AFD"/>
    <w:rsid w:val="00A9799A"/>
    <w:rsid w:val="00AC15CE"/>
    <w:rsid w:val="00AE40B3"/>
    <w:rsid w:val="00B57856"/>
    <w:rsid w:val="00B61FE4"/>
    <w:rsid w:val="00B62A54"/>
    <w:rsid w:val="00BB2274"/>
    <w:rsid w:val="00BB45ED"/>
    <w:rsid w:val="00BC6413"/>
    <w:rsid w:val="00BD4B0D"/>
    <w:rsid w:val="00BF3078"/>
    <w:rsid w:val="00C03924"/>
    <w:rsid w:val="00C17E0C"/>
    <w:rsid w:val="00C23118"/>
    <w:rsid w:val="00C33F92"/>
    <w:rsid w:val="00C41D81"/>
    <w:rsid w:val="00C478A2"/>
    <w:rsid w:val="00C537FA"/>
    <w:rsid w:val="00C67866"/>
    <w:rsid w:val="00C720D5"/>
    <w:rsid w:val="00D21DD5"/>
    <w:rsid w:val="00D303EF"/>
    <w:rsid w:val="00D777EF"/>
    <w:rsid w:val="00D90239"/>
    <w:rsid w:val="00D91C7E"/>
    <w:rsid w:val="00D97F5D"/>
    <w:rsid w:val="00DD6386"/>
    <w:rsid w:val="00DE1086"/>
    <w:rsid w:val="00DE1EC4"/>
    <w:rsid w:val="00E2409C"/>
    <w:rsid w:val="00E6641E"/>
    <w:rsid w:val="00E87441"/>
    <w:rsid w:val="00E9682A"/>
    <w:rsid w:val="00E9715F"/>
    <w:rsid w:val="00EA14F9"/>
    <w:rsid w:val="00EA7E4A"/>
    <w:rsid w:val="00ED06C9"/>
    <w:rsid w:val="00ED13C1"/>
    <w:rsid w:val="00EE61B6"/>
    <w:rsid w:val="00F25211"/>
    <w:rsid w:val="00F555C5"/>
    <w:rsid w:val="00F916CF"/>
    <w:rsid w:val="00FB5904"/>
    <w:rsid w:val="00FB7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6E3C2"/>
  <w15:docId w15:val="{092EBD4E-A2E9-4615-A6DB-41F8A3F0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4B46"/>
  </w:style>
  <w:style w:type="paragraph" w:styleId="NormalWeb">
    <w:name w:val="Normal (Web)"/>
    <w:basedOn w:val="Normal"/>
    <w:uiPriority w:val="99"/>
    <w:semiHidden/>
    <w:unhideWhenUsed/>
    <w:rsid w:val="004C24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24E5"/>
    <w:rPr>
      <w:b/>
      <w:bCs/>
    </w:rPr>
  </w:style>
  <w:style w:type="table" w:styleId="TableGrid">
    <w:name w:val="Table Grid"/>
    <w:basedOn w:val="TableNormal"/>
    <w:uiPriority w:val="39"/>
    <w:rsid w:val="000E2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216D"/>
    <w:rPr>
      <w:sz w:val="16"/>
      <w:szCs w:val="16"/>
    </w:rPr>
  </w:style>
  <w:style w:type="paragraph" w:styleId="CommentText">
    <w:name w:val="annotation text"/>
    <w:basedOn w:val="Normal"/>
    <w:link w:val="CommentTextChar"/>
    <w:uiPriority w:val="99"/>
    <w:semiHidden/>
    <w:unhideWhenUsed/>
    <w:rsid w:val="000E216D"/>
    <w:pPr>
      <w:spacing w:line="240" w:lineRule="auto"/>
    </w:pPr>
    <w:rPr>
      <w:sz w:val="20"/>
      <w:szCs w:val="20"/>
    </w:rPr>
  </w:style>
  <w:style w:type="character" w:customStyle="1" w:styleId="CommentTextChar">
    <w:name w:val="Comment Text Char"/>
    <w:basedOn w:val="DefaultParagraphFont"/>
    <w:link w:val="CommentText"/>
    <w:uiPriority w:val="99"/>
    <w:semiHidden/>
    <w:rsid w:val="000E216D"/>
    <w:rPr>
      <w:sz w:val="20"/>
      <w:szCs w:val="20"/>
    </w:rPr>
  </w:style>
  <w:style w:type="paragraph" w:styleId="CommentSubject">
    <w:name w:val="annotation subject"/>
    <w:basedOn w:val="CommentText"/>
    <w:next w:val="CommentText"/>
    <w:link w:val="CommentSubjectChar"/>
    <w:uiPriority w:val="99"/>
    <w:semiHidden/>
    <w:unhideWhenUsed/>
    <w:rsid w:val="000E216D"/>
    <w:rPr>
      <w:b/>
      <w:bCs/>
    </w:rPr>
  </w:style>
  <w:style w:type="character" w:customStyle="1" w:styleId="CommentSubjectChar">
    <w:name w:val="Comment Subject Char"/>
    <w:basedOn w:val="CommentTextChar"/>
    <w:link w:val="CommentSubject"/>
    <w:uiPriority w:val="99"/>
    <w:semiHidden/>
    <w:rsid w:val="000E216D"/>
    <w:rPr>
      <w:b/>
      <w:bCs/>
      <w:sz w:val="20"/>
      <w:szCs w:val="20"/>
    </w:rPr>
  </w:style>
  <w:style w:type="paragraph" w:styleId="BalloonText">
    <w:name w:val="Balloon Text"/>
    <w:basedOn w:val="Normal"/>
    <w:link w:val="BalloonTextChar"/>
    <w:uiPriority w:val="99"/>
    <w:semiHidden/>
    <w:unhideWhenUsed/>
    <w:rsid w:val="000E2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58780">
      <w:bodyDiv w:val="1"/>
      <w:marLeft w:val="0"/>
      <w:marRight w:val="0"/>
      <w:marTop w:val="0"/>
      <w:marBottom w:val="0"/>
      <w:divBdr>
        <w:top w:val="none" w:sz="0" w:space="0" w:color="auto"/>
        <w:left w:val="none" w:sz="0" w:space="0" w:color="auto"/>
        <w:bottom w:val="none" w:sz="0" w:space="0" w:color="auto"/>
        <w:right w:val="none" w:sz="0" w:space="0" w:color="auto"/>
      </w:divBdr>
    </w:div>
    <w:div w:id="17107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 Pavagadhi</dc:creator>
  <cp:keywords/>
  <dc:description/>
  <cp:lastModifiedBy>Angie Soderberg</cp:lastModifiedBy>
  <cp:revision>2</cp:revision>
  <dcterms:created xsi:type="dcterms:W3CDTF">2019-07-16T19:15:00Z</dcterms:created>
  <dcterms:modified xsi:type="dcterms:W3CDTF">2019-07-16T19:15:00Z</dcterms:modified>
</cp:coreProperties>
</file>